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F1" w:rsidRDefault="005512F1" w:rsidP="005512F1">
      <w:pPr>
        <w:spacing w:after="240"/>
        <w:rPr>
          <w:rFonts w:ascii="Helvetica" w:eastAsia="Times New Roman" w:hAnsi="Helvetica" w:cs="Helvetica"/>
          <w:sz w:val="18"/>
          <w:szCs w:val="18"/>
        </w:rPr>
      </w:pPr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Cambria" w:hAnsi="Cambria"/>
          <w:b/>
          <w:bCs/>
          <w:caps/>
          <w:lang w:val="en-US"/>
        </w:rPr>
        <w:t>The Anachronism of the manufacturing/services divide?</w:t>
      </w:r>
      <w:proofErr w:type="gramEnd"/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b/>
          <w:bCs/>
          <w:caps/>
          <w:lang w:val="en-US"/>
        </w:rPr>
        <w:t> </w:t>
      </w:r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 xml:space="preserve">The latest </w:t>
      </w:r>
      <w:r>
        <w:rPr>
          <w:rFonts w:ascii="Cambria" w:hAnsi="Cambria"/>
          <w:b/>
          <w:bCs/>
          <w:lang w:val="en-US"/>
        </w:rPr>
        <w:t>McKinsey Global Institute report “Manufacturing the Future</w:t>
      </w:r>
      <w:proofErr w:type="gramStart"/>
      <w:r>
        <w:rPr>
          <w:rFonts w:ascii="Cambria" w:hAnsi="Cambria"/>
          <w:b/>
          <w:bCs/>
          <w:lang w:val="en-US"/>
        </w:rPr>
        <w:t>”</w:t>
      </w:r>
      <w:proofErr w:type="gramEnd"/>
      <w:r>
        <w:rPr>
          <w:rFonts w:ascii="Cambria" w:hAnsi="Cambria"/>
          <w:b/>
          <w:bCs/>
          <w:lang w:val="en-US"/>
        </w:rPr>
        <w:fldChar w:fldCharType="begin"/>
      </w:r>
      <w:r>
        <w:rPr>
          <w:rFonts w:ascii="Cambria" w:hAnsi="Cambria"/>
          <w:b/>
          <w:bCs/>
          <w:lang w:val="en-US"/>
        </w:rPr>
        <w:instrText xml:space="preserve"> HYPERLINK "https://snt141.mail.live.com/mail/RteFrame_16.2.7161.1227.html?dl=dl" \l "_ftn1" \o "" </w:instrText>
      </w:r>
      <w:r>
        <w:rPr>
          <w:rFonts w:ascii="Cambria" w:hAnsi="Cambria"/>
          <w:b/>
          <w:bCs/>
          <w:lang w:val="en-US"/>
        </w:rPr>
        <w:fldChar w:fldCharType="separate"/>
      </w:r>
      <w:r>
        <w:rPr>
          <w:rStyle w:val="ecxmsofootnotereference"/>
          <w:rFonts w:ascii="Cambria" w:hAnsi="Cambria"/>
          <w:b/>
          <w:bCs/>
          <w:color w:val="0000FF"/>
          <w:u w:val="single"/>
          <w:lang w:val="en-US"/>
        </w:rPr>
        <w:t>[1]</w:t>
      </w:r>
      <w:r>
        <w:rPr>
          <w:rFonts w:ascii="Cambria" w:hAnsi="Cambria"/>
          <w:b/>
          <w:bCs/>
          <w:lang w:val="en-US"/>
        </w:rPr>
        <w:fldChar w:fldCharType="end"/>
      </w:r>
      <w:r>
        <w:rPr>
          <w:rFonts w:ascii="Cambria" w:hAnsi="Cambria"/>
          <w:lang w:val="en-US"/>
        </w:rPr>
        <w:t xml:space="preserve"> boldly states that </w:t>
      </w:r>
      <w:r>
        <w:rPr>
          <w:rFonts w:ascii="Cambria" w:hAnsi="Cambria"/>
          <w:b/>
          <w:bCs/>
          <w:lang w:val="en-US"/>
        </w:rPr>
        <w:t>the divide between manufacturing and services is an anachronism</w:t>
      </w:r>
      <w:r>
        <w:rPr>
          <w:rFonts w:ascii="Cambria" w:hAnsi="Cambria"/>
          <w:lang w:val="en-US"/>
        </w:rPr>
        <w:t xml:space="preserve"> that businesses and policy-makers will soon have to eliminate from their rationale. </w:t>
      </w:r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> </w:t>
      </w:r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 xml:space="preserve">The </w:t>
      </w:r>
      <w:r>
        <w:rPr>
          <w:rFonts w:ascii="Cambria" w:hAnsi="Cambria"/>
          <w:b/>
          <w:bCs/>
          <w:lang w:val="en-US"/>
        </w:rPr>
        <w:t>reasoning behind this irreversible trend is two-fold</w:t>
      </w:r>
      <w:r>
        <w:rPr>
          <w:rFonts w:ascii="Cambria" w:hAnsi="Cambria"/>
          <w:lang w:val="en-US"/>
        </w:rPr>
        <w:t>:</w:t>
      </w:r>
    </w:p>
    <w:p w:rsidR="005512F1" w:rsidRDefault="005512F1" w:rsidP="005512F1">
      <w:pPr>
        <w:pStyle w:val="ecxmsolistparagraph"/>
        <w:ind w:hanging="360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/>
          <w:lang w:val="en-US"/>
        </w:rPr>
        <w:t></w:t>
      </w:r>
      <w:r>
        <w:rPr>
          <w:rFonts w:ascii="Symbol"/>
          <w:sz w:val="14"/>
          <w:szCs w:val="14"/>
          <w:lang w:val="en-US"/>
        </w:rPr>
        <w:t>        </w:t>
      </w:r>
      <w:r>
        <w:rPr>
          <w:rFonts w:ascii="Symbol" w:hAnsi="Symbol"/>
          <w:sz w:val="14"/>
          <w:szCs w:val="14"/>
          <w:lang w:val="en-US"/>
        </w:rPr>
        <w:t></w:t>
      </w:r>
      <w:r>
        <w:rPr>
          <w:rFonts w:ascii="Cambria" w:hAnsi="Cambria"/>
          <w:lang w:val="en-US"/>
        </w:rPr>
        <w:t xml:space="preserve">The </w:t>
      </w:r>
      <w:r>
        <w:rPr>
          <w:rFonts w:ascii="Cambria" w:hAnsi="Cambria"/>
          <w:b/>
          <w:bCs/>
          <w:lang w:val="en-US"/>
        </w:rPr>
        <w:t>inclusion of an ever-increasing number of service-like activities</w:t>
      </w:r>
      <w:r>
        <w:rPr>
          <w:rFonts w:ascii="Cambria" w:hAnsi="Cambria"/>
          <w:lang w:val="en-US"/>
        </w:rPr>
        <w:t xml:space="preserve"> in the “to do lists” of manufacturing companies (e.g. R&amp;D, marketing and sales, customer support);</w:t>
      </w:r>
    </w:p>
    <w:p w:rsidR="005512F1" w:rsidRDefault="005512F1" w:rsidP="005512F1">
      <w:pPr>
        <w:pStyle w:val="ecxmsolistparagraph"/>
        <w:ind w:hanging="360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/>
          <w:lang w:val="en-US"/>
        </w:rPr>
        <w:t></w:t>
      </w:r>
      <w:r>
        <w:rPr>
          <w:rFonts w:ascii="Symbol"/>
          <w:sz w:val="14"/>
          <w:szCs w:val="14"/>
          <w:lang w:val="en-US"/>
        </w:rPr>
        <w:t>        </w:t>
      </w:r>
      <w:r>
        <w:rPr>
          <w:rFonts w:ascii="Symbol" w:hAnsi="Symbol"/>
          <w:sz w:val="14"/>
          <w:szCs w:val="14"/>
          <w:lang w:val="en-US"/>
        </w:rPr>
        <w:t></w:t>
      </w:r>
      <w:r>
        <w:rPr>
          <w:rFonts w:ascii="Cambria" w:hAnsi="Cambria"/>
          <w:lang w:val="en-US"/>
        </w:rPr>
        <w:t xml:space="preserve">The </w:t>
      </w:r>
      <w:r>
        <w:rPr>
          <w:rFonts w:ascii="Cambria" w:hAnsi="Cambria"/>
          <w:b/>
          <w:bCs/>
          <w:lang w:val="en-US"/>
        </w:rPr>
        <w:t>service sector inputs and value added to the manufacturing process</w:t>
      </w:r>
      <w:r>
        <w:rPr>
          <w:rFonts w:ascii="Cambria" w:hAnsi="Cambria"/>
          <w:lang w:val="en-US"/>
        </w:rPr>
        <w:t>, i.e. a multitude of service providers facilitate the production of goods (</w:t>
      </w:r>
      <w:proofErr w:type="spellStart"/>
      <w:r>
        <w:rPr>
          <w:rFonts w:ascii="Cambria" w:hAnsi="Cambria"/>
          <w:lang w:val="en-US"/>
        </w:rPr>
        <w:t>eg</w:t>
      </w:r>
      <w:proofErr w:type="spellEnd"/>
      <w:r>
        <w:rPr>
          <w:rFonts w:ascii="Cambria" w:hAnsi="Cambria"/>
          <w:lang w:val="en-US"/>
        </w:rPr>
        <w:t>. telecommunication providers, travel services, logistics providers, banks, etc.) and contribute a sizable value added to the production process (e.g. engineering and design, transportation, business services).</w:t>
      </w:r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> </w:t>
      </w:r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 xml:space="preserve">Thus the </w:t>
      </w:r>
      <w:r>
        <w:rPr>
          <w:rFonts w:ascii="Cambria" w:hAnsi="Cambria"/>
          <w:b/>
          <w:bCs/>
          <w:lang w:val="en-US"/>
        </w:rPr>
        <w:t>distinction between manufacturing and services becomes progressively blurry with the former encompassing a wide range of activities broadly grouped by McKinsey into five categories</w:t>
      </w:r>
      <w:r>
        <w:rPr>
          <w:rFonts w:ascii="Cambria" w:hAnsi="Cambria"/>
          <w:lang w:val="en-US"/>
        </w:rPr>
        <w:t>:</w:t>
      </w:r>
    </w:p>
    <w:p w:rsidR="005512F1" w:rsidRDefault="005512F1" w:rsidP="005512F1">
      <w:pPr>
        <w:pStyle w:val="ecxmsolistparagraph"/>
        <w:ind w:hanging="360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/>
          <w:lang w:val="en-US"/>
        </w:rPr>
        <w:t></w:t>
      </w:r>
      <w:r>
        <w:rPr>
          <w:rFonts w:ascii="Symbol"/>
          <w:sz w:val="14"/>
          <w:szCs w:val="14"/>
          <w:lang w:val="en-US"/>
        </w:rPr>
        <w:t>        </w:t>
      </w:r>
      <w:r>
        <w:rPr>
          <w:rFonts w:ascii="Symbol" w:hAnsi="Symbol"/>
          <w:sz w:val="14"/>
          <w:szCs w:val="14"/>
          <w:lang w:val="en-US"/>
        </w:rPr>
        <w:t></w:t>
      </w:r>
      <w:r>
        <w:rPr>
          <w:rFonts w:ascii="Cambria" w:hAnsi="Cambria"/>
          <w:lang w:val="en-US"/>
        </w:rPr>
        <w:t>“global innovation for local markets” – industries that require constant innovation and where transport costs make it expedient to locate production close to customer bases, such as chemicals, machinery and car-making;</w:t>
      </w:r>
    </w:p>
    <w:p w:rsidR="005512F1" w:rsidRDefault="005512F1" w:rsidP="005512F1">
      <w:pPr>
        <w:pStyle w:val="ecxmsolistparagraph"/>
        <w:ind w:hanging="360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/>
          <w:lang w:val="en-US"/>
        </w:rPr>
        <w:t></w:t>
      </w:r>
      <w:r>
        <w:rPr>
          <w:rFonts w:ascii="Symbol"/>
          <w:sz w:val="14"/>
          <w:szCs w:val="14"/>
          <w:lang w:val="en-US"/>
        </w:rPr>
        <w:t>        </w:t>
      </w:r>
      <w:r>
        <w:rPr>
          <w:rFonts w:ascii="Symbol" w:hAnsi="Symbol"/>
          <w:sz w:val="14"/>
          <w:szCs w:val="14"/>
          <w:lang w:val="en-US"/>
        </w:rPr>
        <w:t></w:t>
      </w:r>
      <w:r>
        <w:rPr>
          <w:rFonts w:ascii="Cambria" w:hAnsi="Cambria"/>
          <w:lang w:val="en-US"/>
        </w:rPr>
        <w:t>“regional processing” – examples include fabricated metals, food and publishing;</w:t>
      </w:r>
    </w:p>
    <w:p w:rsidR="005512F1" w:rsidRDefault="005512F1" w:rsidP="005512F1">
      <w:pPr>
        <w:pStyle w:val="ecxmsolistparagraph"/>
        <w:ind w:hanging="360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/>
          <w:lang w:val="en-US"/>
        </w:rPr>
        <w:t></w:t>
      </w:r>
      <w:r>
        <w:rPr>
          <w:rFonts w:ascii="Symbol"/>
          <w:sz w:val="14"/>
          <w:szCs w:val="14"/>
          <w:lang w:val="en-US"/>
        </w:rPr>
        <w:t>        </w:t>
      </w:r>
      <w:r>
        <w:rPr>
          <w:rFonts w:ascii="Symbol" w:hAnsi="Symbol"/>
          <w:sz w:val="14"/>
          <w:szCs w:val="14"/>
          <w:lang w:val="en-US"/>
        </w:rPr>
        <w:t></w:t>
      </w:r>
      <w:r>
        <w:rPr>
          <w:rFonts w:ascii="Cambria" w:hAnsi="Cambria"/>
          <w:lang w:val="en-US"/>
        </w:rPr>
        <w:t>“energy and resource-intensive commodities” – e.g. wood, paper and petrol;</w:t>
      </w:r>
    </w:p>
    <w:p w:rsidR="005512F1" w:rsidRDefault="005512F1" w:rsidP="005512F1">
      <w:pPr>
        <w:pStyle w:val="ecxmsolistparagraph"/>
        <w:ind w:hanging="360"/>
        <w:jc w:val="both"/>
        <w:rPr>
          <w:rFonts w:ascii="Helvetica" w:hAnsi="Helvetica" w:cs="Helvetica"/>
          <w:sz w:val="18"/>
          <w:szCs w:val="18"/>
        </w:rPr>
      </w:pPr>
      <w:r>
        <w:rPr>
          <w:rFonts w:ascii="Symbol" w:hAnsi="Symbol"/>
          <w:lang w:val="en-US"/>
        </w:rPr>
        <w:t></w:t>
      </w:r>
      <w:r>
        <w:rPr>
          <w:rFonts w:ascii="Symbol"/>
          <w:sz w:val="14"/>
          <w:szCs w:val="14"/>
          <w:lang w:val="en-US"/>
        </w:rPr>
        <w:t>        </w:t>
      </w:r>
      <w:r>
        <w:rPr>
          <w:rFonts w:ascii="Symbol" w:hAnsi="Symbol"/>
          <w:sz w:val="14"/>
          <w:szCs w:val="14"/>
          <w:lang w:val="en-US"/>
        </w:rPr>
        <w:t></w:t>
      </w:r>
      <w:r>
        <w:rPr>
          <w:rFonts w:ascii="Cambria" w:hAnsi="Cambria"/>
          <w:lang w:val="en-US"/>
        </w:rPr>
        <w:t>“innovative global technologies” – e.g. chips, computers and medical products;</w:t>
      </w:r>
    </w:p>
    <w:p w:rsidR="005512F1" w:rsidRDefault="005512F1" w:rsidP="005512F1">
      <w:pPr>
        <w:pStyle w:val="ecxmsolistparagraph"/>
        <w:ind w:hanging="360"/>
        <w:jc w:val="both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Symbol" w:hAnsi="Symbol"/>
          <w:lang w:val="en-US"/>
        </w:rPr>
        <w:t></w:t>
      </w:r>
      <w:r>
        <w:rPr>
          <w:rFonts w:ascii="Symbol"/>
          <w:sz w:val="14"/>
          <w:szCs w:val="14"/>
          <w:lang w:val="en-US"/>
        </w:rPr>
        <w:t>        </w:t>
      </w:r>
      <w:r>
        <w:rPr>
          <w:rFonts w:ascii="Symbol" w:hAnsi="Symbol"/>
          <w:sz w:val="14"/>
          <w:szCs w:val="14"/>
          <w:lang w:val="en-US"/>
        </w:rPr>
        <w:t></w:t>
      </w:r>
      <w:r>
        <w:rPr>
          <w:rFonts w:ascii="Cambria" w:hAnsi="Cambria"/>
          <w:lang w:val="en-US"/>
        </w:rPr>
        <w:t xml:space="preserve">“Labor-intensive </w:t>
      </w:r>
      <w:proofErr w:type="spellStart"/>
      <w:r>
        <w:rPr>
          <w:rFonts w:ascii="Cambria" w:hAnsi="Cambria"/>
          <w:lang w:val="en-US"/>
        </w:rPr>
        <w:t>tradeables</w:t>
      </w:r>
      <w:proofErr w:type="spellEnd"/>
      <w:r>
        <w:rPr>
          <w:rFonts w:ascii="Cambria" w:hAnsi="Cambria"/>
          <w:lang w:val="en-US"/>
        </w:rPr>
        <w:t>” – e.g. textiles, clothes and toys.</w:t>
      </w:r>
      <w:proofErr w:type="gramEnd"/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> </w:t>
      </w:r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 xml:space="preserve">The blurring effect of long and complex supply chains and synergies between the two economic spheres </w:t>
      </w:r>
      <w:r>
        <w:rPr>
          <w:rFonts w:ascii="Cambria" w:hAnsi="Cambria"/>
          <w:b/>
          <w:bCs/>
          <w:lang w:val="en-US"/>
        </w:rPr>
        <w:t>can create considerable confusion as the logic of how they create demand and employment for one another obstructs identification of how much manufacturing really does contribute to economic growth.</w:t>
      </w:r>
      <w:r>
        <w:rPr>
          <w:rFonts w:ascii="Cambria" w:hAnsi="Cambria"/>
          <w:lang w:val="en-US"/>
        </w:rPr>
        <w:t xml:space="preserve"> The take-away for both businesses and policy makers therefore reads: </w:t>
      </w:r>
      <w:r>
        <w:rPr>
          <w:rFonts w:ascii="Cambria" w:hAnsi="Cambria"/>
          <w:b/>
          <w:bCs/>
          <w:lang w:val="en-US"/>
        </w:rPr>
        <w:t>do not be guided by the old rules of manufacturing when you look to identify those companies that “produce.”</w:t>
      </w:r>
    </w:p>
    <w:p w:rsidR="005512F1" w:rsidRDefault="005512F1" w:rsidP="005512F1">
      <w:pPr>
        <w:pStyle w:val="ecxmsonormal"/>
        <w:ind w:firstLine="720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b/>
          <w:bCs/>
          <w:lang w:val="en-US"/>
        </w:rPr>
        <w:lastRenderedPageBreak/>
        <w:t> </w:t>
      </w:r>
    </w:p>
    <w:p w:rsidR="005512F1" w:rsidRDefault="005512F1" w:rsidP="005512F1">
      <w:pPr>
        <w:pStyle w:val="ecxmsonormal"/>
        <w:jc w:val="both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 xml:space="preserve">But </w:t>
      </w:r>
      <w:r>
        <w:rPr>
          <w:rFonts w:ascii="Cambria" w:hAnsi="Cambria"/>
          <w:b/>
          <w:bCs/>
          <w:lang w:val="en-US"/>
        </w:rPr>
        <w:t>how does that all relate to innovation</w:t>
      </w:r>
      <w:r>
        <w:rPr>
          <w:rFonts w:ascii="Cambria" w:hAnsi="Cambria"/>
          <w:lang w:val="en-US"/>
        </w:rPr>
        <w:t xml:space="preserve"> as the title of McKinsey’s report unequivocally </w:t>
      </w:r>
      <w:proofErr w:type="gramStart"/>
      <w:r>
        <w:rPr>
          <w:rFonts w:ascii="Cambria" w:hAnsi="Cambria"/>
          <w:lang w:val="en-US"/>
        </w:rPr>
        <w:t>suggests</w:t>
      </w:r>
      <w:proofErr w:type="gramEnd"/>
      <w:r>
        <w:rPr>
          <w:rFonts w:ascii="Cambria" w:hAnsi="Cambria"/>
          <w:lang w:val="en-US"/>
        </w:rPr>
        <w:t xml:space="preserve">. The answer comes somewhat naturally: </w:t>
      </w:r>
      <w:r>
        <w:rPr>
          <w:rFonts w:ascii="Cambria" w:hAnsi="Cambria"/>
          <w:b/>
          <w:bCs/>
          <w:lang w:val="en-US"/>
        </w:rPr>
        <w:t xml:space="preserve">innovation in materials, technologies and processes is what has driven this trend. At the same time, the tendency is likely to provide further incentives and resources for innovation. </w:t>
      </w:r>
      <w:r>
        <w:rPr>
          <w:rFonts w:ascii="Cambria" w:hAnsi="Cambria"/>
          <w:lang w:val="en-US"/>
        </w:rPr>
        <w:t>McKinsey predicts that the dawn of new manufacturing will be marked by “</w:t>
      </w:r>
      <w:r>
        <w:rPr>
          <w:rFonts w:ascii="Cambria" w:hAnsi="Cambria"/>
          <w:b/>
          <w:bCs/>
          <w:lang w:val="en-US"/>
        </w:rPr>
        <w:t xml:space="preserve">highly networked enterprises </w:t>
      </w:r>
      <w:proofErr w:type="spellStart"/>
      <w:r>
        <w:rPr>
          <w:rFonts w:ascii="Cambria" w:hAnsi="Cambria"/>
          <w:b/>
          <w:bCs/>
        </w:rPr>
        <w:t>that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use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information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and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analytics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as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skillfully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as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they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employ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talent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and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machinery</w:t>
      </w:r>
      <w:proofErr w:type="spellEnd"/>
      <w:r>
        <w:rPr>
          <w:rFonts w:ascii="Cambria" w:hAnsi="Cambria"/>
          <w:b/>
          <w:bCs/>
        </w:rPr>
        <w:t xml:space="preserve"> to </w:t>
      </w:r>
      <w:proofErr w:type="spellStart"/>
      <w:r>
        <w:rPr>
          <w:rFonts w:ascii="Cambria" w:hAnsi="Cambria"/>
          <w:b/>
          <w:bCs/>
        </w:rPr>
        <w:t>deliver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products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and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services</w:t>
      </w:r>
      <w:proofErr w:type="spellEnd"/>
      <w:r>
        <w:rPr>
          <w:rFonts w:ascii="Cambria" w:hAnsi="Cambria"/>
          <w:b/>
          <w:bCs/>
        </w:rPr>
        <w:t xml:space="preserve"> to </w:t>
      </w:r>
      <w:proofErr w:type="spellStart"/>
      <w:r>
        <w:rPr>
          <w:rFonts w:ascii="Cambria" w:hAnsi="Cambria"/>
          <w:b/>
          <w:bCs/>
        </w:rPr>
        <w:t>diverse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global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markets</w:t>
      </w:r>
      <w:proofErr w:type="spellEnd"/>
      <w:r>
        <w:rPr>
          <w:rFonts w:ascii="Cambria" w:hAnsi="Cambria"/>
          <w:b/>
          <w:bCs/>
          <w:lang w:val="en-US"/>
        </w:rPr>
        <w:t>.”</w:t>
      </w:r>
    </w:p>
    <w:p w:rsidR="005512F1" w:rsidRDefault="005512F1" w:rsidP="005512F1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> </w:t>
      </w:r>
    </w:p>
    <w:p w:rsidR="005512F1" w:rsidRDefault="005512F1" w:rsidP="005512F1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>So what’s the verdict – is this trend good or bad? McKinsey’s response is somewhat self-explanatory</w:t>
      </w:r>
      <w:r>
        <w:rPr>
          <w:rFonts w:ascii="Cambria" w:hAnsi="Cambria"/>
          <w:b/>
          <w:bCs/>
          <w:lang w:val="en-US"/>
        </w:rPr>
        <w:t xml:space="preserve">: in the context of </w:t>
      </w:r>
      <w:proofErr w:type="spellStart"/>
      <w:r>
        <w:rPr>
          <w:rFonts w:ascii="Cambria" w:hAnsi="Cambria"/>
          <w:b/>
          <w:bCs/>
        </w:rPr>
        <w:t>advanced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economies</w:t>
      </w:r>
      <w:proofErr w:type="spellEnd"/>
      <w:r>
        <w:rPr>
          <w:rFonts w:ascii="Cambria" w:hAnsi="Cambria"/>
          <w:b/>
          <w:bCs/>
        </w:rPr>
        <w:t xml:space="preserve">, </w:t>
      </w:r>
      <w:proofErr w:type="spellStart"/>
      <w:r>
        <w:rPr>
          <w:rFonts w:ascii="Cambria" w:hAnsi="Cambria"/>
          <w:b/>
          <w:bCs/>
        </w:rPr>
        <w:t>manufacturing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will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continue</w:t>
      </w:r>
      <w:proofErr w:type="spellEnd"/>
      <w:r>
        <w:rPr>
          <w:rFonts w:ascii="Cambria" w:hAnsi="Cambria"/>
          <w:b/>
          <w:bCs/>
        </w:rPr>
        <w:t xml:space="preserve"> to </w:t>
      </w:r>
      <w:proofErr w:type="spellStart"/>
      <w:r>
        <w:rPr>
          <w:rFonts w:ascii="Cambria" w:hAnsi="Cambria"/>
          <w:b/>
          <w:bCs/>
        </w:rPr>
        <w:t>drive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innovation</w:t>
      </w:r>
      <w:proofErr w:type="spellEnd"/>
      <w:r>
        <w:rPr>
          <w:rFonts w:ascii="Cambria" w:hAnsi="Cambria"/>
          <w:b/>
          <w:bCs/>
        </w:rPr>
        <w:t xml:space="preserve">, </w:t>
      </w:r>
      <w:proofErr w:type="spellStart"/>
      <w:r>
        <w:rPr>
          <w:rFonts w:ascii="Cambria" w:hAnsi="Cambria"/>
          <w:b/>
          <w:bCs/>
        </w:rPr>
        <w:t>exports</w:t>
      </w:r>
      <w:proofErr w:type="spellEnd"/>
      <w:r>
        <w:rPr>
          <w:rFonts w:ascii="Cambria" w:hAnsi="Cambria"/>
          <w:b/>
          <w:bCs/>
        </w:rPr>
        <w:t xml:space="preserve">, </w:t>
      </w:r>
      <w:proofErr w:type="spellStart"/>
      <w:r>
        <w:rPr>
          <w:rFonts w:ascii="Cambria" w:hAnsi="Cambria"/>
          <w:b/>
          <w:bCs/>
        </w:rPr>
        <w:t>and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productivity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growt</w:t>
      </w:r>
      <w:proofErr w:type="spellEnd"/>
      <w:r>
        <w:rPr>
          <w:rFonts w:ascii="Cambria" w:hAnsi="Cambria"/>
          <w:b/>
          <w:bCs/>
          <w:lang w:val="en-US"/>
        </w:rPr>
        <w:t>h, whereas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r>
        <w:rPr>
          <w:rFonts w:ascii="Cambria" w:hAnsi="Cambria"/>
          <w:b/>
          <w:bCs/>
        </w:rPr>
        <w:t>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developing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economies</w:t>
      </w:r>
      <w:proofErr w:type="spellEnd"/>
      <w:r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  <w:lang w:val="en-US"/>
        </w:rPr>
        <w:t xml:space="preserve"> it</w:t>
      </w:r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will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continue</w:t>
      </w:r>
      <w:proofErr w:type="spellEnd"/>
      <w:r>
        <w:rPr>
          <w:rFonts w:ascii="Cambria" w:hAnsi="Cambria"/>
          <w:b/>
          <w:bCs/>
        </w:rPr>
        <w:t xml:space="preserve"> to </w:t>
      </w:r>
      <w:proofErr w:type="spellStart"/>
      <w:r>
        <w:rPr>
          <w:rFonts w:ascii="Cambria" w:hAnsi="Cambria"/>
          <w:b/>
          <w:bCs/>
        </w:rPr>
        <w:t>provide</w:t>
      </w:r>
      <w:proofErr w:type="spellEnd"/>
      <w:r>
        <w:rPr>
          <w:rFonts w:ascii="Cambria" w:hAnsi="Cambria"/>
          <w:b/>
          <w:bCs/>
        </w:rPr>
        <w:t xml:space="preserve"> a </w:t>
      </w:r>
      <w:proofErr w:type="spellStart"/>
      <w:r>
        <w:rPr>
          <w:rFonts w:ascii="Cambria" w:hAnsi="Cambria"/>
          <w:b/>
          <w:bCs/>
        </w:rPr>
        <w:t>pathway</w:t>
      </w:r>
      <w:proofErr w:type="spellEnd"/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en-US"/>
        </w:rPr>
        <w:t>for</w:t>
      </w:r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higher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living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standards</w:t>
      </w:r>
      <w:proofErr w:type="spellEnd"/>
      <w:r>
        <w:rPr>
          <w:rFonts w:ascii="Cambria" w:hAnsi="Cambria"/>
        </w:rPr>
        <w:t xml:space="preserve">. </w:t>
      </w:r>
    </w:p>
    <w:p w:rsidR="005512F1" w:rsidRDefault="005512F1" w:rsidP="005512F1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Cambria" w:hAnsi="Cambria"/>
          <w:lang w:val="en-US"/>
        </w:rPr>
        <w:t xml:space="preserve">All in all, it is a matter of wait and </w:t>
      </w:r>
      <w:proofErr w:type="gramStart"/>
      <w:r>
        <w:rPr>
          <w:rFonts w:ascii="Cambria" w:hAnsi="Cambria"/>
          <w:lang w:val="en-US"/>
        </w:rPr>
        <w:t>see</w:t>
      </w:r>
      <w:proofErr w:type="gramEnd"/>
      <w:r>
        <w:rPr>
          <w:rFonts w:ascii="Cambria" w:hAnsi="Cambria"/>
          <w:lang w:val="en-US"/>
        </w:rPr>
        <w:t>. But the crucial thing remains: in order to “see” one needs to be aware of the trend.</w:t>
      </w:r>
    </w:p>
    <w:p w:rsidR="005512F1" w:rsidRDefault="005512F1" w:rsidP="005512F1">
      <w:pPr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br w:type="textWrapping" w:clear="all"/>
      </w:r>
    </w:p>
    <w:p w:rsidR="005512F1" w:rsidRDefault="005512F1" w:rsidP="005512F1">
      <w:pPr>
        <w:pStyle w:val="ecxmsofootnotetext"/>
      </w:pPr>
      <w:hyperlink r:id="rId4" w:anchor="_ftnref1" w:tooltip="" w:history="1">
        <w:r>
          <w:rPr>
            <w:rStyle w:val="ecxmsofootnotereference"/>
            <w:rFonts w:ascii="Cambria" w:hAnsi="Cambria" w:cs="Helvetica"/>
            <w:color w:val="0000FF"/>
            <w:u w:val="single"/>
            <w:lang w:val="en-US"/>
          </w:rPr>
          <w:t>[1]</w:t>
        </w:r>
      </w:hyperlink>
      <w:r>
        <w:rPr>
          <w:rFonts w:ascii="Cambria" w:hAnsi="Cambria"/>
          <w:lang w:val="en-US"/>
        </w:rPr>
        <w:t xml:space="preserve"> McKinsey Global Institute, “Manufacturing the future: The next era of global growth and innovation,” Nov 2012, retrievable at: </w:t>
      </w:r>
      <w:hyperlink r:id="rId5" w:history="1">
        <w:r>
          <w:rPr>
            <w:rStyle w:val="Hyperlink"/>
            <w:rFonts w:ascii="Cambria" w:hAnsi="Cambria" w:cs="Helvetica"/>
            <w:lang w:val="en-US"/>
          </w:rPr>
          <w:t>http://www.mckinsey.com/insights/mgi/research/productivity_competitiveness_and_growth/the_future_of_manufacturing</w:t>
        </w:r>
      </w:hyperlink>
      <w:r>
        <w:rPr>
          <w:rFonts w:ascii="Cambria" w:hAnsi="Cambria"/>
          <w:lang w:val="en-US"/>
        </w:rPr>
        <w:t xml:space="preserve"> </w:t>
      </w:r>
    </w:p>
    <w:p w:rsidR="005512F1" w:rsidRDefault="005512F1" w:rsidP="005512F1">
      <w:pPr>
        <w:spacing w:after="240"/>
        <w:rPr>
          <w:rFonts w:ascii="Helvetica" w:eastAsia="Times New Roman" w:hAnsi="Helvetica" w:cs="Helvetica"/>
          <w:sz w:val="18"/>
          <w:szCs w:val="18"/>
        </w:rPr>
      </w:pPr>
    </w:p>
    <w:p w:rsidR="005512F1" w:rsidRDefault="005512F1" w:rsidP="005512F1">
      <w:pPr>
        <w:pStyle w:val="ecxmsonormal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ED3D41" w:rsidRDefault="00ED3D41"/>
    <w:sectPr w:rsidR="00ED3D41" w:rsidSect="00ED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2F1"/>
    <w:rsid w:val="00047161"/>
    <w:rsid w:val="00303C96"/>
    <w:rsid w:val="00375D72"/>
    <w:rsid w:val="005512F1"/>
    <w:rsid w:val="00842A04"/>
    <w:rsid w:val="009202CF"/>
    <w:rsid w:val="00A50006"/>
    <w:rsid w:val="00B07C59"/>
    <w:rsid w:val="00D50854"/>
    <w:rsid w:val="00D91B45"/>
    <w:rsid w:val="00ED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1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12F1"/>
    <w:rPr>
      <w:color w:val="0000FF"/>
      <w:u w:val="single"/>
    </w:rPr>
  </w:style>
  <w:style w:type="paragraph" w:customStyle="1" w:styleId="ecxmsonormal">
    <w:name w:val="ecxmsonormal"/>
    <w:basedOn w:val="Normal"/>
    <w:rsid w:val="005512F1"/>
    <w:pPr>
      <w:spacing w:before="100" w:beforeAutospacing="1" w:after="100" w:afterAutospacing="1"/>
    </w:pPr>
  </w:style>
  <w:style w:type="paragraph" w:customStyle="1" w:styleId="ecxmsolistparagraph">
    <w:name w:val="ecxmsolistparagraph"/>
    <w:basedOn w:val="Normal"/>
    <w:rsid w:val="005512F1"/>
    <w:pPr>
      <w:spacing w:before="100" w:beforeAutospacing="1" w:after="100" w:afterAutospacing="1"/>
    </w:pPr>
  </w:style>
  <w:style w:type="paragraph" w:customStyle="1" w:styleId="ecxmsofootnotetext">
    <w:name w:val="ecxmsofootnotetext"/>
    <w:basedOn w:val="Normal"/>
    <w:rsid w:val="005512F1"/>
    <w:pPr>
      <w:spacing w:before="100" w:beforeAutospacing="1" w:after="100" w:afterAutospacing="1"/>
    </w:pPr>
  </w:style>
  <w:style w:type="character" w:customStyle="1" w:styleId="ecxmsofootnotereference">
    <w:name w:val="ecxmsofootnotereference"/>
    <w:basedOn w:val="DefaultParagraphFont"/>
    <w:rsid w:val="00551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kinsey.com/insights/mgi/research/productivity_competitiveness_and_growth/the_future_of_manufacturing" TargetMode="External"/><Relationship Id="rId4" Type="http://schemas.openxmlformats.org/officeDocument/2006/relationships/hyperlink" Target="https://snt141.mail.livecom/mail/RteFrame_16.2.7161.1227.html?dl=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Company> 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2013-04-02T11:49:00Z</dcterms:created>
  <dcterms:modified xsi:type="dcterms:W3CDTF">2013-04-02T11:49:00Z</dcterms:modified>
</cp:coreProperties>
</file>